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FE7CF1">
      <w:pPr>
        <w:topLinePunct/>
        <w:spacing w:line="560" w:lineRule="exact"/>
        <w:jc w:val="center"/>
        <w:rPr>
          <w:rFonts w:ascii="仿宋_GB2312" w:hAnsi="仿宋" w:eastAsia="仿宋_GB2312" w:cs="仿宋_GB2312"/>
          <w:bCs/>
          <w:sz w:val="32"/>
          <w:szCs w:val="32"/>
        </w:rPr>
      </w:pPr>
      <w:bookmarkStart w:id="0" w:name="_GoBack"/>
      <w:r>
        <w:rPr>
          <w:rFonts w:hint="eastAsia" w:ascii="方正小标宋简体" w:hAnsi="黑体" w:eastAsia="方正小标宋简体" w:cs="黑体"/>
          <w:bCs/>
          <w:sz w:val="44"/>
          <w:szCs w:val="44"/>
        </w:rPr>
        <w:t>关于</w:t>
      </w:r>
      <w:r>
        <w:rPr>
          <w:rFonts w:ascii="方正小标宋简体" w:hAnsi="黑体" w:eastAsia="方正小标宋简体" w:cs="黑体"/>
          <w:bCs/>
          <w:sz w:val="44"/>
          <w:szCs w:val="44"/>
          <w:u w:val="single"/>
        </w:rPr>
        <w:t xml:space="preserve">              </w:t>
      </w:r>
      <w:r>
        <w:rPr>
          <w:rFonts w:hint="eastAsia" w:ascii="方正小标宋简体" w:hAnsi="仿宋_GB2312" w:eastAsia="方正小标宋简体" w:cs="仿宋_GB2312"/>
          <w:bCs/>
          <w:sz w:val="44"/>
          <w:szCs w:val="44"/>
        </w:rPr>
        <w:t>（银行全称）参与</w:t>
      </w:r>
    </w:p>
    <w:p w14:paraId="1AEA8B76">
      <w:pPr>
        <w:topLinePunct/>
        <w:spacing w:line="560" w:lineRule="exact"/>
        <w:jc w:val="center"/>
        <w:rPr>
          <w:rFonts w:ascii="方正小标宋简体" w:hAnsi="黑体" w:eastAsia="方正小标宋简体" w:cs="黑体"/>
          <w:bCs/>
          <w:sz w:val="44"/>
          <w:szCs w:val="44"/>
        </w:rPr>
      </w:pPr>
      <w:r>
        <w:rPr>
          <w:rFonts w:hint="eastAsia" w:ascii="方正小标宋简体" w:hAnsi="黑体" w:eastAsia="方正小标宋简体" w:cs="黑体"/>
          <w:bCs/>
          <w:sz w:val="44"/>
          <w:szCs w:val="44"/>
        </w:rPr>
        <w:t>国家农业信贷担保联盟有限责任公司</w:t>
      </w:r>
    </w:p>
    <w:p w14:paraId="440A17FE">
      <w:pPr>
        <w:topLinePunct/>
        <w:spacing w:line="560" w:lineRule="exact"/>
        <w:jc w:val="center"/>
        <w:rPr>
          <w:rFonts w:ascii="方正小标宋简体" w:hAnsi="黑体" w:eastAsia="方正小标宋简体" w:cs="黑体"/>
          <w:bCs/>
          <w:sz w:val="44"/>
          <w:szCs w:val="44"/>
        </w:rPr>
      </w:pPr>
      <w:r>
        <w:rPr>
          <w:rFonts w:hint="eastAsia" w:ascii="方正小标宋简体" w:hAnsi="黑体" w:eastAsia="方正小标宋简体" w:cs="黑体"/>
          <w:bCs/>
          <w:sz w:val="44"/>
          <w:szCs w:val="44"/>
        </w:rPr>
        <w:t>资金运用服务项目评选的函</w:t>
      </w:r>
    </w:p>
    <w:p w14:paraId="6DD1CE7C">
      <w:pPr>
        <w:topLinePunct/>
        <w:spacing w:line="560" w:lineRule="exact"/>
        <w:jc w:val="center"/>
        <w:rPr>
          <w:rFonts w:ascii="黑体" w:hAnsi="黑体" w:eastAsia="黑体" w:cs="黑体"/>
          <w:bCs/>
          <w:sz w:val="44"/>
          <w:szCs w:val="44"/>
        </w:rPr>
      </w:pPr>
      <w:r>
        <w:rPr>
          <w:rFonts w:hint="eastAsia" w:ascii="方正小标宋简体" w:hAnsi="黑体" w:eastAsia="方正小标宋简体" w:cs="黑体"/>
          <w:bCs/>
          <w:sz w:val="44"/>
          <w:szCs w:val="44"/>
        </w:rPr>
        <w:t>（模板）</w:t>
      </w:r>
      <w:bookmarkEnd w:id="0"/>
    </w:p>
    <w:p w14:paraId="413F4D71">
      <w:pPr>
        <w:topLinePunct/>
        <w:spacing w:line="560" w:lineRule="exact"/>
        <w:jc w:val="center"/>
        <w:rPr>
          <w:rFonts w:ascii="黑体" w:hAnsi="黑体" w:eastAsia="黑体" w:cs="黑体"/>
          <w:bCs/>
          <w:sz w:val="44"/>
          <w:szCs w:val="44"/>
        </w:rPr>
      </w:pPr>
    </w:p>
    <w:p w14:paraId="43C13988">
      <w:pPr>
        <w:topLinePunct/>
        <w:spacing w:line="560" w:lineRule="exact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国家农业信贷担保联盟有限责任公司：</w:t>
      </w:r>
    </w:p>
    <w:p w14:paraId="315C9BCB">
      <w:pPr>
        <w:topLinePunct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ascii="仿宋_GB2312" w:hAnsi="仿宋_GB2312" w:eastAsia="仿宋_GB2312" w:cs="仿宋_GB2312"/>
          <w:sz w:val="32"/>
          <w:szCs w:val="28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28"/>
        </w:rPr>
        <w:t>（银行全称）自愿参与贵单位资金运用服务项目：</w:t>
      </w:r>
    </w:p>
    <w:p w14:paraId="72E63E73">
      <w:pPr>
        <w:topLinePunct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一、我方已认真审阅贵公司通知，完全理解并同意放弃对通知提出质疑及争议的权利。</w:t>
      </w:r>
    </w:p>
    <w:p w14:paraId="55D37458">
      <w:pPr>
        <w:topLinePunct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二、我方将按通知规定履行全部责任和义务。</w:t>
      </w:r>
    </w:p>
    <w:p w14:paraId="5795A617">
      <w:pPr>
        <w:topLinePunct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三、根据贵公司资金运用服务项目的要求，我方提供以下指标信息、服务方案及报价：</w:t>
      </w:r>
    </w:p>
    <w:p w14:paraId="19FEB1D3">
      <w:pPr>
        <w:autoSpaceDE w:val="0"/>
        <w:autoSpaceDN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22"/>
        </w:rPr>
      </w:pPr>
      <w:r>
        <w:rPr>
          <w:rFonts w:ascii="仿宋_GB2312" w:hAnsi="仿宋_GB2312" w:eastAsia="仿宋_GB2312" w:cs="仿宋_GB2312"/>
          <w:bCs/>
          <w:sz w:val="32"/>
          <w:szCs w:val="28"/>
        </w:rPr>
        <w:t>1.</w:t>
      </w:r>
      <w:r>
        <w:rPr>
          <w:rFonts w:hint="eastAsia" w:ascii="仿宋_GB2312" w:hAnsi="仿宋_GB2312" w:eastAsia="仿宋_GB2312" w:cs="仿宋_GB2312"/>
          <w:bCs/>
          <w:sz w:val="32"/>
          <w:szCs w:val="28"/>
        </w:rPr>
        <w:t>本行经营状况</w:t>
      </w:r>
    </w:p>
    <w:tbl>
      <w:tblPr>
        <w:tblStyle w:val="5"/>
        <w:tblW w:w="4479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1"/>
        <w:gridCol w:w="3733"/>
      </w:tblGrid>
      <w:tr w14:paraId="6F68E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DFDA0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32"/>
              </w:rPr>
              <w:t>经营状况指标</w:t>
            </w:r>
          </w:p>
        </w:tc>
        <w:tc>
          <w:tcPr>
            <w:tcW w:w="2445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E6DD4CA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sz w:val="28"/>
                <w:szCs w:val="32"/>
              </w:rPr>
            </w:pPr>
          </w:p>
        </w:tc>
      </w:tr>
      <w:tr w14:paraId="6D6EA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5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63ABC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上年度净资产总额</w:t>
            </w:r>
          </w:p>
        </w:tc>
        <w:tc>
          <w:tcPr>
            <w:tcW w:w="2445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6B259EF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8"/>
                <w:szCs w:val="32"/>
              </w:rPr>
            </w:pPr>
          </w:p>
        </w:tc>
      </w:tr>
      <w:tr w14:paraId="4522E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55" w:type="pc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0B50BFC6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上年度资本充足率</w:t>
            </w:r>
          </w:p>
        </w:tc>
        <w:tc>
          <w:tcPr>
            <w:tcW w:w="2445" w:type="pc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41F20FDE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8"/>
                <w:szCs w:val="32"/>
              </w:rPr>
            </w:pPr>
          </w:p>
        </w:tc>
      </w:tr>
      <w:tr w14:paraId="4ABDD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55" w:type="pc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2EF9D118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2"/>
              </w:rPr>
              <w:t>上年度不良贷款率</w:t>
            </w:r>
          </w:p>
        </w:tc>
        <w:tc>
          <w:tcPr>
            <w:tcW w:w="2445" w:type="pc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78060B4D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8"/>
                <w:szCs w:val="32"/>
              </w:rPr>
            </w:pPr>
          </w:p>
        </w:tc>
      </w:tr>
      <w:tr w14:paraId="568AC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55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8EE851B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  <w:t>上年度资产利润率</w:t>
            </w:r>
          </w:p>
        </w:tc>
        <w:tc>
          <w:tcPr>
            <w:tcW w:w="2445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9279C6A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8"/>
                <w:szCs w:val="32"/>
              </w:rPr>
            </w:pPr>
          </w:p>
        </w:tc>
      </w:tr>
      <w:tr w14:paraId="691CB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E9F15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  <w:t>上年度流动性比例</w:t>
            </w:r>
          </w:p>
        </w:tc>
        <w:tc>
          <w:tcPr>
            <w:tcW w:w="2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22BBD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8"/>
                <w:szCs w:val="32"/>
              </w:rPr>
            </w:pPr>
          </w:p>
        </w:tc>
      </w:tr>
      <w:tr w14:paraId="780E9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F7EF7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  <w:t>近两年主体评级</w:t>
            </w:r>
          </w:p>
        </w:tc>
        <w:tc>
          <w:tcPr>
            <w:tcW w:w="2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BAF7D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8"/>
                <w:szCs w:val="32"/>
              </w:rPr>
            </w:pPr>
          </w:p>
        </w:tc>
      </w:tr>
      <w:tr w14:paraId="62CAE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EE8F6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32"/>
              </w:rPr>
              <w:t>近两年经营活动中是否存在重大违约事件</w:t>
            </w:r>
          </w:p>
        </w:tc>
        <w:tc>
          <w:tcPr>
            <w:tcW w:w="2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91AEE">
            <w:pPr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sz w:val="28"/>
                <w:szCs w:val="32"/>
              </w:rPr>
            </w:pPr>
          </w:p>
        </w:tc>
      </w:tr>
    </w:tbl>
    <w:p w14:paraId="207C32D1">
      <w:pPr>
        <w:overflowPunct w:val="0"/>
        <w:autoSpaceDE w:val="0"/>
        <w:autoSpaceDN w:val="0"/>
        <w:adjustRightInd w:val="0"/>
        <w:snapToGrid w:val="0"/>
        <w:spacing w:line="560" w:lineRule="exact"/>
        <w:ind w:firstLine="544" w:firstLineChars="200"/>
        <w:rPr>
          <w:rFonts w:ascii="仿宋_GB2312" w:hAnsi="仿宋_GB2312" w:eastAsia="仿宋_GB2312" w:cs="仿宋_GB2312"/>
          <w:bCs/>
          <w:kern w:val="0"/>
          <w:sz w:val="32"/>
          <w:szCs w:val="28"/>
        </w:rPr>
      </w:pPr>
      <w:r>
        <w:rPr>
          <w:rFonts w:ascii="仿宋_GB2312" w:hAnsi="仿宋_GB2312" w:eastAsia="仿宋_GB2312" w:cs="仿宋_GB2312"/>
          <w:bCs/>
          <w:spacing w:val="-24"/>
          <w:kern w:val="0"/>
          <w:sz w:val="32"/>
          <w:szCs w:val="28"/>
        </w:rPr>
        <w:t>2.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28"/>
        </w:rPr>
        <w:t>资金运用产品报价</w:t>
      </w:r>
    </w:p>
    <w:tbl>
      <w:tblPr>
        <w:tblStyle w:val="5"/>
        <w:tblpPr w:leftFromText="180" w:rightFromText="180" w:vertAnchor="text" w:tblpXSpec="center" w:tblpY="1"/>
        <w:tblOverlap w:val="never"/>
        <w:tblW w:w="447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26"/>
        <w:gridCol w:w="5622"/>
      </w:tblGrid>
      <w:tr w14:paraId="48364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1226" w:type="pct"/>
            <w:vAlign w:val="center"/>
          </w:tcPr>
          <w:p w14:paraId="3AE9F22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产品</w:t>
            </w:r>
          </w:p>
        </w:tc>
        <w:tc>
          <w:tcPr>
            <w:tcW w:w="3774" w:type="pct"/>
            <w:vAlign w:val="center"/>
          </w:tcPr>
          <w:p w14:paraId="3141A5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仿宋_GB2312"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2"/>
                <w:szCs w:val="32"/>
              </w:rPr>
              <w:t>报价</w:t>
            </w:r>
          </w:p>
        </w:tc>
      </w:tr>
      <w:tr w14:paraId="2C02D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1226" w:type="pct"/>
            <w:vAlign w:val="center"/>
          </w:tcPr>
          <w:p w14:paraId="02B3BD6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定期存款、通知存款、协定存款</w:t>
            </w:r>
          </w:p>
        </w:tc>
        <w:tc>
          <w:tcPr>
            <w:tcW w:w="3774" w:type="pct"/>
            <w:vAlign w:val="center"/>
          </w:tcPr>
          <w:p w14:paraId="43B54CBA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color w:val="00B0F0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在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标书中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说明规模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期限、自动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转存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、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利率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及计息（结息）规则等，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并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注明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风险防范措施，如利率风险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（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固定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/浮动、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加息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/降息影响）、流动性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风险（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是否可提前支取及提前支取的计息方法）、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安全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风险（保证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本金安全，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防范被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质押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担保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挪用盗用等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风险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的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措施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，纳入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存款保险等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）。</w:t>
            </w:r>
          </w:p>
        </w:tc>
      </w:tr>
      <w:tr w14:paraId="03F59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1226" w:type="pct"/>
            <w:vAlign w:val="center"/>
          </w:tcPr>
          <w:p w14:paraId="6F54CAB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结构性存款</w:t>
            </w:r>
          </w:p>
        </w:tc>
        <w:tc>
          <w:tcPr>
            <w:tcW w:w="3774" w:type="pct"/>
            <w:vAlign w:val="center"/>
          </w:tcPr>
          <w:p w14:paraId="7C6A019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在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标书中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说明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规模、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期限、挂钩标的、预期收益率、观察日确定、收益率计算规则、预期实现概率或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挂钩标的浮动区间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等要素，并注明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风险防范措施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，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包括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流动性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风险（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是否可提前支取及提前支取的计息方法）、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安全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风险（保证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本金安全，防防范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被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质押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担保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挪用盗用等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风险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的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措施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，纳入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存款保险等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）。</w:t>
            </w:r>
          </w:p>
        </w:tc>
      </w:tr>
      <w:tr w14:paraId="3D75C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</w:trPr>
        <w:tc>
          <w:tcPr>
            <w:tcW w:w="1226" w:type="pct"/>
            <w:vAlign w:val="center"/>
          </w:tcPr>
          <w:p w14:paraId="377C251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债券</w:t>
            </w:r>
          </w:p>
        </w:tc>
        <w:tc>
          <w:tcPr>
            <w:tcW w:w="3774" w:type="pct"/>
            <w:vAlign w:val="center"/>
          </w:tcPr>
          <w:p w14:paraId="747FB66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560" w:lineRule="exact"/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在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标书中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说明债券投标计划、中标操作程序、信用风险分析、市场分析、税收政策等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并注明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风险防范措施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，包括流动性风险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是否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可以转让、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回购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、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安全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风险（保证债券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安全，防范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被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质押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担保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挪用盗用等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风险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的</w:t>
            </w:r>
            <w:r>
              <w:rPr>
                <w:rFonts w:ascii="仿宋_GB2312" w:hAnsi="仿宋_GB2312" w:eastAsia="仿宋_GB2312" w:cs="仿宋_GB2312"/>
                <w:kern w:val="0"/>
                <w:sz w:val="28"/>
                <w:szCs w:val="32"/>
              </w:rPr>
              <w:t>措施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32"/>
              </w:rPr>
              <w:t>）。</w:t>
            </w:r>
          </w:p>
        </w:tc>
      </w:tr>
    </w:tbl>
    <w:p w14:paraId="692312FA">
      <w:pPr>
        <w:overflowPunct w:val="0"/>
        <w:autoSpaceDE w:val="0"/>
        <w:autoSpaceDN w:val="0"/>
        <w:adjustRightInd w:val="0"/>
        <w:snapToGrid w:val="0"/>
        <w:spacing w:line="440" w:lineRule="exact"/>
        <w:ind w:left="141" w:leftChars="67" w:right="164" w:rightChars="78" w:firstLine="560" w:firstLineChars="200"/>
        <w:rPr>
          <w:rFonts w:ascii="仿宋_GB2312" w:hAnsi="仿宋_GB2312" w:eastAsia="仿宋_GB2312" w:cs="仿宋_GB2312"/>
          <w:kern w:val="0"/>
          <w:sz w:val="28"/>
          <w:szCs w:val="24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4"/>
        </w:rPr>
        <w:t>注</w:t>
      </w:r>
      <w:r>
        <w:rPr>
          <w:rFonts w:ascii="仿宋_GB2312" w:hAnsi="仿宋_GB2312" w:eastAsia="仿宋_GB2312" w:cs="仿宋_GB2312"/>
          <w:kern w:val="0"/>
          <w:sz w:val="28"/>
          <w:szCs w:val="24"/>
        </w:rPr>
        <w:t>1</w:t>
      </w:r>
      <w:r>
        <w:rPr>
          <w:rFonts w:hint="eastAsia" w:ascii="仿宋_GB2312" w:hAnsi="仿宋_GB2312" w:eastAsia="仿宋_GB2312" w:cs="仿宋_GB2312"/>
          <w:kern w:val="0"/>
          <w:sz w:val="28"/>
          <w:szCs w:val="24"/>
        </w:rPr>
        <w:t>：相关指标数据为备选银行报中国人民银行数据，并以国家金融监督管理总局数据统计口径为准。</w:t>
      </w:r>
    </w:p>
    <w:p w14:paraId="279DFB18">
      <w:pPr>
        <w:overflowPunct w:val="0"/>
        <w:autoSpaceDE w:val="0"/>
        <w:autoSpaceDN w:val="0"/>
        <w:adjustRightInd w:val="0"/>
        <w:snapToGrid w:val="0"/>
        <w:spacing w:line="440" w:lineRule="exact"/>
        <w:ind w:left="141" w:leftChars="67" w:right="164" w:rightChars="78" w:firstLine="560" w:firstLineChars="200"/>
        <w:rPr>
          <w:rFonts w:ascii="仿宋_GB2312" w:hAnsi="仿宋_GB2312" w:eastAsia="仿宋_GB2312" w:cs="仿宋_GB2312"/>
          <w:kern w:val="0"/>
          <w:sz w:val="28"/>
          <w:szCs w:val="24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4"/>
        </w:rPr>
        <w:t>注</w:t>
      </w:r>
      <w:r>
        <w:rPr>
          <w:rFonts w:ascii="仿宋_GB2312" w:hAnsi="仿宋_GB2312" w:eastAsia="仿宋_GB2312" w:cs="仿宋_GB2312"/>
          <w:kern w:val="0"/>
          <w:sz w:val="28"/>
          <w:szCs w:val="24"/>
        </w:rPr>
        <w:t>2</w:t>
      </w:r>
      <w:r>
        <w:rPr>
          <w:rFonts w:hint="eastAsia" w:ascii="仿宋_GB2312" w:hAnsi="仿宋_GB2312" w:eastAsia="仿宋_GB2312" w:cs="仿宋_GB2312"/>
          <w:kern w:val="0"/>
          <w:sz w:val="28"/>
          <w:szCs w:val="24"/>
        </w:rPr>
        <w:t>：以上指标的相关证明材料随附。</w:t>
      </w:r>
    </w:p>
    <w:p w14:paraId="701240C4">
      <w:pPr>
        <w:autoSpaceDE w:val="0"/>
        <w:autoSpaceDN w:val="0"/>
        <w:spacing w:line="560" w:lineRule="exact"/>
        <w:ind w:firstLine="643" w:firstLineChars="200"/>
        <w:jc w:val="left"/>
        <w:rPr>
          <w:rFonts w:ascii="仿宋_GB2312" w:hAnsi="仿宋_GB2312" w:eastAsia="仿宋_GB2312" w:cs="仿宋_GB2312"/>
          <w:b/>
          <w:sz w:val="32"/>
          <w:szCs w:val="28"/>
        </w:rPr>
      </w:pPr>
      <w:r>
        <w:rPr>
          <w:rFonts w:hint="eastAsia" w:ascii="仿宋_GB2312" w:hAnsi="仿宋_GB2312" w:eastAsia="仿宋_GB2312" w:cs="仿宋_GB2312"/>
          <w:b/>
          <w:sz w:val="32"/>
          <w:szCs w:val="28"/>
        </w:rPr>
        <w:t>我方（保证□、不保证□）本金（债券）安全。</w:t>
      </w:r>
    </w:p>
    <w:p w14:paraId="00F0DE2B">
      <w:pPr>
        <w:autoSpaceDE w:val="0"/>
        <w:autoSpaceDN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28"/>
        </w:rPr>
      </w:pPr>
      <w:r>
        <w:rPr>
          <w:rFonts w:ascii="仿宋_GB2312" w:hAnsi="仿宋_GB2312" w:eastAsia="仿宋_GB2312" w:cs="仿宋_GB2312"/>
          <w:bCs/>
          <w:sz w:val="32"/>
          <w:szCs w:val="28"/>
        </w:rPr>
        <w:t>3.</w:t>
      </w:r>
      <w:r>
        <w:rPr>
          <w:rFonts w:hint="eastAsia" w:ascii="仿宋_GB2312" w:hAnsi="仿宋_GB2312" w:eastAsia="仿宋_GB2312" w:cs="仿宋_GB2312"/>
          <w:bCs/>
          <w:sz w:val="32"/>
          <w:szCs w:val="28"/>
        </w:rPr>
        <w:t>本行提供的日常服务方案</w:t>
      </w:r>
    </w:p>
    <w:p w14:paraId="7A681BEB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28"/>
        </w:rPr>
        <w:t>（1）</w:t>
      </w:r>
      <w:r>
        <w:rPr>
          <w:rFonts w:ascii="仿宋_GB2312" w:hAnsi="仿宋_GB2312" w:eastAsia="仿宋_GB2312" w:cs="仿宋_GB2312"/>
          <w:kern w:val="0"/>
          <w:sz w:val="32"/>
          <w:szCs w:val="28"/>
        </w:rPr>
        <w:t>整体服务方案</w:t>
      </w:r>
    </w:p>
    <w:p w14:paraId="5D5C9482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示例：</w:t>
      </w:r>
      <w:r>
        <w:rPr>
          <w:rFonts w:hint="eastAsia" w:ascii="楷体_GB2312" w:hAnsi="仿宋_GB2312" w:eastAsia="楷体_GB2312" w:cs="仿宋_GB2312"/>
          <w:color w:val="000000"/>
          <w:kern w:val="0"/>
          <w:sz w:val="32"/>
          <w:szCs w:val="32"/>
        </w:rPr>
        <w:t>①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针对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  <w:t>开户及协议签订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等提供便捷性服务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及时、自主、准确提供电子对账单等材料；</w:t>
      </w:r>
      <w:r>
        <w:rPr>
          <w:rFonts w:hint="eastAsia" w:ascii="楷体_GB2312" w:hAnsi="仿宋_GB2312" w:eastAsia="楷体_GB2312" w:cs="仿宋_GB2312"/>
          <w:color w:val="000000"/>
          <w:kern w:val="0"/>
          <w:sz w:val="32"/>
          <w:szCs w:val="32"/>
        </w:rPr>
        <w:t>②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  <w:t>资金划转材料核验、交易复核、查询对账服务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；</w:t>
      </w:r>
      <w:r>
        <w:rPr>
          <w:rFonts w:hint="eastAsia" w:ascii="楷体_GB2312" w:hAnsi="仿宋_GB2312" w:eastAsia="楷体_GB2312" w:cs="仿宋_GB2312"/>
          <w:color w:val="000000"/>
          <w:kern w:val="0"/>
          <w:sz w:val="32"/>
          <w:szCs w:val="32"/>
        </w:rPr>
        <w:t>③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  <w:t>提供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资金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  <w:t>规划咨询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、</w:t>
      </w: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  <w:t>行业研报、经济形势分析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服务等。</w:t>
      </w:r>
    </w:p>
    <w:p w14:paraId="016201D8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28"/>
        </w:rPr>
        <w:t>（2）</w:t>
      </w:r>
      <w:r>
        <w:rPr>
          <w:rFonts w:ascii="仿宋_GB2312" w:hAnsi="仿宋_GB2312" w:eastAsia="仿宋_GB2312" w:cs="仿宋_GB2312"/>
          <w:kern w:val="0"/>
          <w:sz w:val="32"/>
          <w:szCs w:val="28"/>
        </w:rPr>
        <w:t>服务费用减免方案</w:t>
      </w:r>
    </w:p>
    <w:p w14:paraId="1BABE17E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28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28"/>
        </w:rPr>
        <w:t>（3）</w:t>
      </w:r>
      <w:r>
        <w:rPr>
          <w:rFonts w:ascii="仿宋_GB2312" w:hAnsi="仿宋_GB2312" w:eastAsia="仿宋_GB2312" w:cs="仿宋_GB2312"/>
          <w:kern w:val="0"/>
          <w:sz w:val="32"/>
          <w:szCs w:val="28"/>
        </w:rPr>
        <w:t>风险保障方案</w:t>
      </w:r>
    </w:p>
    <w:p w14:paraId="49B209F0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对本期资金运用产品风险的综合分析包括产品结构设计的合理性、预期收益实现概率、保证最低收益情况、相关市场分析等，及银行在资金安全保障与风险控制方面的措施和应急预案。</w:t>
      </w:r>
    </w:p>
    <w:p w14:paraId="69785E9F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（4）既往合作情况</w:t>
      </w:r>
    </w:p>
    <w:p w14:paraId="730A54C4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楷体_GB2312" w:hAnsi="仿宋_GB2312" w:eastAsia="楷体_GB2312" w:cs="仿宋_GB2312"/>
          <w:color w:val="000000"/>
          <w:kern w:val="0"/>
          <w:sz w:val="32"/>
          <w:szCs w:val="32"/>
        </w:rPr>
        <w:t>①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与公司合作历史中收益实现情况；</w:t>
      </w:r>
      <w:r>
        <w:rPr>
          <w:rFonts w:hint="eastAsia" w:ascii="楷体_GB2312" w:hAnsi="仿宋_GB2312" w:eastAsia="楷体_GB2312" w:cs="仿宋_GB2312"/>
          <w:color w:val="000000"/>
          <w:kern w:val="0"/>
          <w:sz w:val="32"/>
          <w:szCs w:val="32"/>
        </w:rPr>
        <w:t>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投标产品存续期内历史收益实现情况。</w:t>
      </w:r>
    </w:p>
    <w:p w14:paraId="7C7FC800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（5）产品历史业绩</w:t>
      </w:r>
    </w:p>
    <w:p w14:paraId="5E017CCE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三年内与本期运用产品要素相近产品的实际收益率情况，通过列表方式展现。</w:t>
      </w:r>
    </w:p>
    <w:p w14:paraId="08C82DF6">
      <w:pPr>
        <w:autoSpaceDE w:val="0"/>
        <w:autoSpaceDN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28"/>
        </w:rPr>
      </w:pPr>
      <w:r>
        <w:rPr>
          <w:rFonts w:hint="eastAsia" w:ascii="仿宋_GB2312" w:hAnsi="仿宋_GB2312" w:eastAsia="仿宋_GB2312" w:cs="仿宋_GB2312"/>
          <w:bCs/>
          <w:sz w:val="32"/>
          <w:szCs w:val="28"/>
        </w:rPr>
        <w:t>四、我方向贵公司提供的报价均合法、真实、有效，报价有效期至</w:t>
      </w:r>
      <w:r>
        <w:rPr>
          <w:rFonts w:ascii="仿宋_GB2312" w:hAnsi="仿宋_GB2312" w:eastAsia="仿宋_GB2312" w:cs="仿宋_GB2312"/>
          <w:bCs/>
          <w:sz w:val="32"/>
          <w:szCs w:val="28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bCs/>
          <w:sz w:val="32"/>
          <w:szCs w:val="28"/>
        </w:rPr>
        <w:t>年</w:t>
      </w:r>
      <w:r>
        <w:rPr>
          <w:rFonts w:ascii="仿宋_GB2312" w:hAnsi="仿宋_GB2312" w:eastAsia="仿宋_GB2312" w:cs="仿宋_GB2312"/>
          <w:bCs/>
          <w:sz w:val="32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bCs/>
          <w:sz w:val="32"/>
          <w:szCs w:val="28"/>
        </w:rPr>
        <w:t>月</w:t>
      </w:r>
      <w:r>
        <w:rPr>
          <w:rFonts w:ascii="仿宋_GB2312" w:hAnsi="仿宋_GB2312" w:eastAsia="仿宋_GB2312" w:cs="仿宋_GB2312"/>
          <w:bCs/>
          <w:sz w:val="32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bCs/>
          <w:sz w:val="32"/>
          <w:szCs w:val="28"/>
        </w:rPr>
        <w:t>日。</w:t>
      </w:r>
    </w:p>
    <w:p w14:paraId="0CC365DE">
      <w:pPr>
        <w:autoSpaceDE w:val="0"/>
        <w:autoSpaceDN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  <w:szCs w:val="28"/>
        </w:rPr>
      </w:pPr>
      <w:r>
        <w:rPr>
          <w:rFonts w:hint="eastAsia" w:ascii="仿宋_GB2312" w:hAnsi="仿宋_GB2312" w:eastAsia="仿宋_GB2312" w:cs="仿宋_GB2312"/>
          <w:bCs/>
          <w:sz w:val="32"/>
          <w:szCs w:val="28"/>
        </w:rPr>
        <w:t>五、我方愿意向贵方提供任何与报价相关的数据、情况和资料。</w:t>
      </w:r>
    </w:p>
    <w:p w14:paraId="31C53B19">
      <w:pPr>
        <w:autoSpaceDE w:val="0"/>
        <w:autoSpaceDN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bCs/>
          <w:sz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28"/>
        </w:rPr>
        <w:t>六、我方指定员工</w:t>
      </w:r>
      <w:r>
        <w:rPr>
          <w:rFonts w:ascii="仿宋_GB2312" w:hAnsi="仿宋_GB2312" w:eastAsia="仿宋_GB2312" w:cs="仿宋_GB2312"/>
          <w:bCs/>
          <w:sz w:val="32"/>
          <w:szCs w:val="28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bCs/>
          <w:sz w:val="32"/>
          <w:szCs w:val="28"/>
        </w:rPr>
        <w:t>，身份证号码</w:t>
      </w:r>
      <w:r>
        <w:rPr>
          <w:rFonts w:ascii="仿宋_GB2312" w:hAnsi="仿宋_GB2312" w:eastAsia="仿宋_GB2312" w:cs="仿宋_GB2312"/>
          <w:bCs/>
          <w:sz w:val="32"/>
          <w:szCs w:val="28"/>
          <w:u w:val="single"/>
        </w:rPr>
        <w:t xml:space="preserve">              </w:t>
      </w:r>
      <w:r>
        <w:rPr>
          <w:rFonts w:hint="eastAsia" w:ascii="仿宋_GB2312" w:hAnsi="仿宋_GB2312" w:eastAsia="仿宋_GB2312" w:cs="仿宋_GB2312"/>
          <w:bCs/>
          <w:sz w:val="32"/>
          <w:szCs w:val="28"/>
        </w:rPr>
        <w:t>，电话</w:t>
      </w:r>
      <w:r>
        <w:rPr>
          <w:rFonts w:ascii="仿宋_GB2312" w:hAnsi="仿宋_GB2312" w:eastAsia="仿宋_GB2312" w:cs="仿宋_GB2312"/>
          <w:bCs/>
          <w:sz w:val="32"/>
          <w:szCs w:val="28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bCs/>
          <w:sz w:val="32"/>
          <w:szCs w:val="28"/>
        </w:rPr>
        <w:t>，邮箱</w:t>
      </w:r>
      <w:r>
        <w:rPr>
          <w:rFonts w:hint="eastAsia" w:ascii="仿宋_GB2312" w:hAnsi="仿宋_GB2312" w:eastAsia="仿宋_GB2312" w:cs="仿宋_GB2312"/>
          <w:bCs/>
          <w:sz w:val="32"/>
          <w:szCs w:val="28"/>
          <w:u w:val="single"/>
        </w:rPr>
        <w:t xml:space="preserve"> </w:t>
      </w:r>
      <w:r>
        <w:rPr>
          <w:rFonts w:ascii="仿宋_GB2312" w:hAnsi="仿宋_GB2312" w:eastAsia="仿宋_GB2312" w:cs="仿宋_GB2312"/>
          <w:bCs/>
          <w:sz w:val="32"/>
          <w:szCs w:val="28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bCs/>
          <w:sz w:val="32"/>
          <w:szCs w:val="28"/>
        </w:rPr>
        <w:t>，负责前往贵单位办理与本项目有关的事宜。</w:t>
      </w:r>
    </w:p>
    <w:p w14:paraId="6680FDD5">
      <w:pPr>
        <w:tabs>
          <w:tab w:val="left" w:pos="7246"/>
        </w:tabs>
        <w:kinsoku w:val="0"/>
        <w:overflowPunct w:val="0"/>
        <w:autoSpaceDE w:val="0"/>
        <w:autoSpaceDN w:val="0"/>
        <w:adjustRightInd w:val="0"/>
        <w:spacing w:line="440" w:lineRule="exact"/>
        <w:ind w:left="2037"/>
        <w:jc w:val="left"/>
        <w:rPr>
          <w:rFonts w:ascii="仿宋_GB2312" w:hAnsi="仿宋_GB2312" w:eastAsia="仿宋_GB2312" w:cs="仿宋_GB2312"/>
          <w:spacing w:val="-1"/>
          <w:kern w:val="0"/>
          <w:sz w:val="32"/>
          <w:szCs w:val="28"/>
        </w:rPr>
      </w:pPr>
    </w:p>
    <w:p w14:paraId="3484EEEE">
      <w:pPr>
        <w:tabs>
          <w:tab w:val="left" w:pos="6921"/>
        </w:tabs>
        <w:kinsoku w:val="0"/>
        <w:overflowPunct w:val="0"/>
        <w:autoSpaceDE w:val="0"/>
        <w:autoSpaceDN w:val="0"/>
        <w:adjustRightInd w:val="0"/>
        <w:spacing w:line="440" w:lineRule="exact"/>
        <w:ind w:left="2037"/>
        <w:jc w:val="left"/>
        <w:rPr>
          <w:rFonts w:ascii="仿宋_GB2312" w:hAnsi="仿宋_GB2312" w:eastAsia="仿宋_GB2312" w:cs="仿宋_GB2312"/>
          <w:spacing w:val="-1"/>
          <w:kern w:val="0"/>
          <w:sz w:val="32"/>
          <w:szCs w:val="28"/>
        </w:rPr>
      </w:pPr>
      <w:r>
        <w:rPr>
          <w:rFonts w:hint="eastAsia" w:ascii="仿宋_GB2312" w:hAnsi="仿宋_GB2312" w:eastAsia="仿宋_GB2312" w:cs="仿宋_GB2312"/>
          <w:spacing w:val="-1"/>
          <w:kern w:val="0"/>
          <w:sz w:val="32"/>
          <w:szCs w:val="28"/>
        </w:rPr>
        <w:t>银行全称</w:t>
      </w:r>
      <w:r>
        <w:rPr>
          <w:rFonts w:ascii="仿宋_GB2312" w:hAnsi="仿宋_GB2312" w:eastAsia="仿宋_GB2312" w:cs="仿宋_GB2312"/>
          <w:spacing w:val="-1"/>
          <w:kern w:val="0"/>
          <w:sz w:val="32"/>
          <w:szCs w:val="28"/>
          <w:u w:val="single"/>
        </w:rPr>
        <w:tab/>
      </w:r>
      <w:r>
        <w:rPr>
          <w:rFonts w:hint="eastAsia" w:ascii="仿宋_GB2312" w:hAnsi="仿宋_GB2312" w:eastAsia="仿宋_GB2312" w:cs="仿宋_GB2312"/>
          <w:spacing w:val="-1"/>
          <w:kern w:val="0"/>
          <w:sz w:val="32"/>
          <w:szCs w:val="28"/>
        </w:rPr>
        <w:t>（公章）</w:t>
      </w:r>
    </w:p>
    <w:p w14:paraId="04467652">
      <w:pPr>
        <w:autoSpaceDE w:val="0"/>
        <w:autoSpaceDN w:val="0"/>
        <w:adjustRightInd w:val="0"/>
        <w:spacing w:line="440" w:lineRule="exact"/>
        <w:ind w:left="140" w:right="1685"/>
        <w:jc w:val="right"/>
        <w:rPr>
          <w:rFonts w:ascii="仿宋_GB2312" w:hAnsi="仿宋_GB2312" w:eastAsia="仿宋_GB2312" w:cs="仿宋_GB2312"/>
          <w:kern w:val="0"/>
          <w:sz w:val="32"/>
          <w:szCs w:val="28"/>
        </w:rPr>
      </w:pPr>
      <w:r>
        <w:rPr>
          <w:rFonts w:ascii="仿宋_GB2312" w:hAnsi="仿宋_GB2312" w:eastAsia="仿宋_GB2312" w:cs="仿宋_GB2312"/>
          <w:kern w:val="0"/>
          <w:sz w:val="32"/>
          <w:szCs w:val="28"/>
          <w:u w:val="single"/>
        </w:rPr>
        <w:t xml:space="preserve">     </w:t>
      </w:r>
      <w:r>
        <w:rPr>
          <w:rFonts w:ascii="仿宋_GB2312" w:hAnsi="仿宋_GB2312" w:eastAsia="仿宋_GB2312" w:cs="仿宋_GB2312"/>
          <w:kern w:val="0"/>
          <w:sz w:val="32"/>
          <w:szCs w:val="28"/>
          <w:u w:val="single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28"/>
        </w:rPr>
        <w:t>年</w:t>
      </w:r>
      <w:r>
        <w:rPr>
          <w:rFonts w:ascii="仿宋_GB2312" w:hAnsi="仿宋_GB2312" w:eastAsia="仿宋_GB2312" w:cs="仿宋_GB2312"/>
          <w:kern w:val="0"/>
          <w:sz w:val="32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</w:rPr>
        <w:t>月</w:t>
      </w:r>
      <w:r>
        <w:rPr>
          <w:rFonts w:ascii="仿宋_GB2312" w:hAnsi="仿宋_GB2312" w:eastAsia="仿宋_GB2312" w:cs="仿宋_GB2312"/>
          <w:kern w:val="0"/>
          <w:sz w:val="32"/>
          <w:szCs w:val="28"/>
          <w:u w:val="single"/>
        </w:rPr>
        <w:tab/>
      </w:r>
      <w:r>
        <w:rPr>
          <w:rFonts w:ascii="仿宋_GB2312" w:hAnsi="仿宋_GB2312" w:eastAsia="仿宋_GB2312" w:cs="仿宋_GB2312"/>
          <w:kern w:val="0"/>
          <w:sz w:val="32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kern w:val="0"/>
          <w:sz w:val="32"/>
          <w:szCs w:val="28"/>
        </w:rPr>
        <w:t>日</w:t>
      </w:r>
    </w:p>
    <w:p w14:paraId="33E78DC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A25"/>
    <w:rsid w:val="00012E3E"/>
    <w:rsid w:val="000821FE"/>
    <w:rsid w:val="000D7A25"/>
    <w:rsid w:val="00104D41"/>
    <w:rsid w:val="001232F0"/>
    <w:rsid w:val="001A4680"/>
    <w:rsid w:val="001B1F5B"/>
    <w:rsid w:val="001B3649"/>
    <w:rsid w:val="001D00A5"/>
    <w:rsid w:val="001E3B2F"/>
    <w:rsid w:val="00203B4E"/>
    <w:rsid w:val="002456A2"/>
    <w:rsid w:val="004A2497"/>
    <w:rsid w:val="00556269"/>
    <w:rsid w:val="005668BE"/>
    <w:rsid w:val="005731BC"/>
    <w:rsid w:val="005C0D70"/>
    <w:rsid w:val="005D42AE"/>
    <w:rsid w:val="006F4FB1"/>
    <w:rsid w:val="007E7639"/>
    <w:rsid w:val="00921B6F"/>
    <w:rsid w:val="00B571DD"/>
    <w:rsid w:val="00B754F3"/>
    <w:rsid w:val="00BF5EB7"/>
    <w:rsid w:val="00C47E7A"/>
    <w:rsid w:val="00CA1E7E"/>
    <w:rsid w:val="00CB3B7E"/>
    <w:rsid w:val="00D05AE7"/>
    <w:rsid w:val="00D354BD"/>
    <w:rsid w:val="00E253D5"/>
    <w:rsid w:val="00E43E29"/>
    <w:rsid w:val="00EB118F"/>
    <w:rsid w:val="00F042FB"/>
    <w:rsid w:val="00FC09CD"/>
    <w:rsid w:val="00FE642D"/>
    <w:rsid w:val="6FDFFCC9"/>
    <w:rsid w:val="7CFFC9E6"/>
    <w:rsid w:val="7FEE0249"/>
    <w:rsid w:val="DE1FD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303</Words>
  <Characters>1728</Characters>
  <Lines>14</Lines>
  <Paragraphs>4</Paragraphs>
  <TotalTime>240</TotalTime>
  <ScaleCrop>false</ScaleCrop>
  <LinksUpToDate>false</LinksUpToDate>
  <CharactersWithSpaces>2027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2025-05-27T11:46:00Z</dcterms:created>
  <dc:creator>郭睿</dc:creator>
  <cp:lastModifiedBy>Lenovo</cp:lastModifiedBy>
  <cp:lastPrinted>2026-08-18T07:24:00Z</cp:lastPrinted>
  <dcterms:modified xsi:type="dcterms:W3CDTF">2026-08-18T16:43:22Z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EE27EC1D28BABA372A1B846A6D378CB5_43</vt:lpwstr>
  </property>
</Properties>
</file>